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tbl>
      <w:tblPr>
        <w:tblStyle w:val="Table1"/>
        <w:tblW w:w="13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0"/>
        <w:gridCol w:w="1889"/>
        <w:gridCol w:w="1835"/>
        <w:gridCol w:w="5532"/>
        <w:gridCol w:w="4088"/>
        <w:tblGridChange w:id="0">
          <w:tblGrid>
            <w:gridCol w:w="650"/>
            <w:gridCol w:w="1889"/>
            <w:gridCol w:w="1835"/>
            <w:gridCol w:w="5532"/>
            <w:gridCol w:w="4088"/>
          </w:tblGrid>
        </w:tblGridChange>
      </w:tblGrid>
      <w:tr>
        <w:trPr>
          <w:cantSplit w:val="0"/>
          <w:trHeight w:val="592" w:hRule="atLeast"/>
          <w:tblHeader w:val="1"/>
        </w:trPr>
        <w:tc>
          <w:tcPr>
            <w:gridSpan w:val="5"/>
            <w:shd w:fill="f1f3f4" w:val="clear"/>
            <w:vAlign w:val="center"/>
          </w:tcPr>
          <w:p w:rsidR="00000000" w:rsidDel="00000000" w:rsidP="00000000" w:rsidRDefault="00000000" w:rsidRPr="00000000" w14:paraId="00000002">
            <w:pPr>
              <w:pStyle w:val="Heading2"/>
              <w:spacing w:after="120" w:before="120" w:lineRule="auto"/>
              <w:jc w:val="center"/>
              <w:rPr/>
            </w:pPr>
            <w:bookmarkStart w:colFirst="0" w:colLast="0" w:name="_heading=h.1aemrzgqblv6" w:id="0"/>
            <w:bookmarkEnd w:id="0"/>
            <w:r w:rsidDel="00000000" w:rsidR="00000000" w:rsidRPr="00000000">
              <w:rPr>
                <w:rtl w:val="0"/>
              </w:rPr>
            </w:r>
          </w:p>
        </w:tc>
      </w:tr>
      <w:tr>
        <w:trPr>
          <w:cantSplit w:val="0"/>
          <w:trHeight w:val="592" w:hRule="atLeast"/>
          <w:tblHeader w:val="0"/>
        </w:trPr>
        <w:tc>
          <w:tcPr>
            <w:gridSpan w:val="5"/>
            <w:shd w:fill="c6d9f1" w:val="clear"/>
            <w:vAlign w:val="center"/>
          </w:tcPr>
          <w:p w:rsidR="00000000" w:rsidDel="00000000" w:rsidP="00000000" w:rsidRDefault="00000000" w:rsidRPr="00000000" w14:paraId="0000000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Uwagi do projektu ustawy o zmianie ustawy o ochronie praw lokatorów, mieszkaniowym zasobie gminy i o zmianie Kodeksu cywilnego oraz niektórych innych ustaw (numer w Wykazie prac legislacyjnych i programowych Rady Ministrów: UD313) </w:t>
              <w:br w:type="textWrapping"/>
              <w:t xml:space="preserve">wraz z uzasadnieniem oraz oceną skutków regulacji</w:t>
            </w:r>
          </w:p>
          <w:p w:rsidR="00000000" w:rsidDel="00000000" w:rsidP="00000000" w:rsidRDefault="00000000" w:rsidRPr="00000000" w14:paraId="00000008">
            <w:pPr>
              <w:jc w:val="center"/>
              <w:rPr>
                <w:rFonts w:ascii="Times New Roman" w:cs="Times New Roman" w:eastAsia="Times New Roman" w:hAnsi="Times New Roman"/>
                <w:b w:val="1"/>
                <w:bCs w:val="1"/>
                <w:i w:val="1"/>
                <w:iCs w:val="1"/>
                <w:sz w:val="28"/>
                <w:szCs w:val="28"/>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00D">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Uwagi ogólne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2">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Lp.</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3">
            <w:pPr>
              <w:spacing w:after="6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Podmiot zgłaszający uwagę</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4">
            <w:pPr>
              <w:spacing w:line="276"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Jednostka redakcyjna </w:t>
              <w:br w:type="textWrapping"/>
              <w:t xml:space="preserve">Strona uzasadnienia</w:t>
              <w:br w:type="textWrapping"/>
              <w:t xml:space="preserve">Pkt OSR</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5">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Treść uwagi / Propozycja zapisu</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16">
            <w:pPr>
              <w:spacing w:line="276" w:lineRule="auto"/>
              <w:jc w:val="center"/>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b w:val="1"/>
                <w:bCs w:val="1"/>
                <w:i w:val="1"/>
                <w:iCs w:val="1"/>
                <w:sz w:val="20"/>
                <w:szCs w:val="20"/>
                <w:u w:val="single"/>
                <w:rtl w:val="0"/>
              </w:rPr>
              <w:t xml:space="preserve"> </w:t>
            </w:r>
          </w:p>
          <w:p w:rsidR="00000000" w:rsidDel="00000000" w:rsidP="00000000" w:rsidRDefault="00000000" w:rsidRPr="00000000" w14:paraId="00000017">
            <w:pPr>
              <w:spacing w:line="276" w:lineRule="auto"/>
              <w:jc w:val="cente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Stanowisko MRiT</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 </w:t>
            </w:r>
          </w:p>
        </w:tc>
        <w:tc>
          <w:tcPr>
            <w:vAlign w:val="center"/>
          </w:tcPr>
          <w:p w:rsidR="00000000" w:rsidDel="00000000" w:rsidP="00000000" w:rsidRDefault="00000000" w:rsidRPr="00000000" w14:paraId="00000019">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 </w:t>
              <w:tab/>
              <w:t xml:space="preserve"> </w:t>
              <w:tab/>
              <w:t xml:space="preserve"> </w:t>
              <w:tab/>
            </w:r>
          </w:p>
          <w:p w:rsidR="00000000" w:rsidDel="00000000" w:rsidP="00000000" w:rsidRDefault="00000000" w:rsidRPr="00000000" w14:paraId="0000001A">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tc>
        <w:tc>
          <w:tcPr>
            <w:vAlign w:val="center"/>
          </w:tcPr>
          <w:p w:rsidR="00000000" w:rsidDel="00000000" w:rsidP="00000000" w:rsidRDefault="00000000" w:rsidRPr="00000000" w14:paraId="0000001B">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C">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Całkowite zignorowanie specyfiki "Miejskiego Eksperymentu Mieszkaniowego" (Program Budownictwa Czynszowego 1998-2002) oraz złamanie zasady ekwiwalentności świadczeń.</w:t>
            </w:r>
            <w:r w:rsidDel="00000000" w:rsidR="00000000" w:rsidRPr="00000000">
              <w:rPr>
                <w:rtl w:val="0"/>
              </w:rPr>
            </w:r>
          </w:p>
          <w:p w:rsidR="00000000" w:rsidDel="00000000" w:rsidP="00000000" w:rsidRDefault="00000000" w:rsidRPr="00000000" w14:paraId="0000001D">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Projekt ustawy całkowicie pomija sytuację najemców lokali wybudowanych w ramach programów mieszkań czynszowych (realizowanych m.in. w Warszawie przy ul. Mickiewicza, Marii Kazimiery, Ząbkowskiej, Meissnera, Abramowskiego). Warunkiem uzyskania najmu w tych budynkach było nieodpłatne przekazanie przez najemców dotychczas zajmowanego lokalu komunalnego, spółdzielczego lub własnościowego (hipotecznego) na rzecz gminy, LUB – na wyraźny wymóg miasta – na rzecz </w:t>
            </w:r>
            <w:r w:rsidDel="00000000" w:rsidR="00000000" w:rsidRPr="00000000">
              <w:rPr>
                <w:rFonts w:ascii="Times New Roman" w:cs="Times New Roman" w:eastAsia="Times New Roman" w:hAnsi="Times New Roman"/>
                <w:b w:val="1"/>
                <w:bCs w:val="1"/>
                <w:sz w:val="20"/>
                <w:szCs w:val="20"/>
                <w:rtl w:val="0"/>
              </w:rPr>
              <w:t xml:space="preserve">poprzednich najemców, co zwalniało gminę z obowiązku ich relokacji </w:t>
            </w:r>
            <w:r w:rsidDel="00000000" w:rsidR="00000000" w:rsidRPr="00000000">
              <w:rPr>
                <w:rFonts w:ascii="Times New Roman" w:cs="Times New Roman" w:eastAsia="Times New Roman" w:hAnsi="Times New Roman"/>
                <w:sz w:val="20"/>
                <w:szCs w:val="20"/>
                <w:rtl w:val="0"/>
              </w:rPr>
              <w:t xml:space="preserve">(niejednokrotnie łącząc się ze spłatą ich zadłużenia). Stanowiło to świadczenie majątkowe o charakterze ściśle ekwiwalentnym. Świadczenie po stronie najemców miało charakter nieodwracalny i zostało w całości wykonane poprzez definitywne wyzbycie się praw majątkowych, co stanowiło dla gminy trwałe przysporzenie i wzbogacenie. Najemcy pozbywali się dorobku życia w zamian za stabilny najem, obietnicę przyszłego wykupu i uiszczanie „czynszu wolnego” (ok. 400% wyższego od stawek komunalnych), </w:t>
            </w:r>
            <w:r w:rsidDel="00000000" w:rsidR="00000000" w:rsidRPr="00000000">
              <w:rPr>
                <w:rFonts w:ascii="Times New Roman" w:cs="Times New Roman" w:eastAsia="Times New Roman" w:hAnsi="Times New Roman"/>
                <w:b w:val="1"/>
                <w:bCs w:val="1"/>
                <w:sz w:val="20"/>
                <w:szCs w:val="20"/>
                <w:rtl w:val="0"/>
              </w:rPr>
              <w:t xml:space="preserve">którego wysokość była często wynikiem rynkowej licytacji stawek czynszu między oferentami</w:t>
            </w:r>
            <w:r w:rsidDel="00000000" w:rsidR="00000000" w:rsidRPr="00000000">
              <w:rPr>
                <w:rFonts w:ascii="Times New Roman" w:cs="Times New Roman" w:eastAsia="Times New Roman" w:hAnsi="Times New Roman"/>
                <w:sz w:val="20"/>
                <w:szCs w:val="20"/>
                <w:rtl w:val="0"/>
              </w:rPr>
              <w:t xml:space="preserve">. Z założenia wyłączało to stosowanie kryteriów dochodowych. </w:t>
            </w:r>
          </w:p>
          <w:p w:rsidR="00000000" w:rsidDel="00000000" w:rsidP="00000000" w:rsidRDefault="00000000" w:rsidRPr="00000000" w14:paraId="0000001E">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Stosunek prawny łączący strony miał charakter czysto cywilnoprawny i rynkowy, co potwierdza ugruntowane orzecznictwo sądów powszechnych. Sądy stwierdzały bezskuteczność narzucanych przez miasto stawek czynszu i ich wypowiedzeń, uznając, że mechanizm licytacji wolnorynkowej z pominięciem rygorów art. 7 ustawy o ochronie praw lokatorów był wadliwy prawnie.</w:t>
            </w:r>
            <w:r w:rsidDel="00000000" w:rsidR="00000000" w:rsidRPr="00000000">
              <w:rPr>
                <w:rtl w:val="0"/>
              </w:rPr>
            </w:r>
          </w:p>
          <w:p w:rsidR="00000000" w:rsidDel="00000000" w:rsidP="00000000" w:rsidRDefault="00000000" w:rsidRPr="00000000" w14:paraId="0000001F">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Legalność i w pełni wolnorynkowy charakter tej procedury potwierdza wprost Zarządzenie nr 1949/98 Prezydenta m.st. Warszawy z 18 września 1998 r. w sprawie zasad organizowania przetargu na najem lokali wolnych o powierzchni przekraczającej 80 m² za zapłatą czynszu wolnego. Akt ten stanowił bezpośrednią realizację ówcześnie obowiązującej ustawy z dnia 2 lipca 1994 r. o najmie lokali mieszkalnych i dodatkach mieszkaniowych (tekst jedn. Dz. U. z 1998 r. nr 120 poz. 787). </w:t>
            </w:r>
          </w:p>
          <w:p w:rsidR="00000000" w:rsidDel="00000000" w:rsidP="00000000" w:rsidRDefault="00000000" w:rsidRPr="00000000" w14:paraId="00000020">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Próba retrospektywnego sprowadzenia tych historycznych, rynkowych transakcji do rangi "pomocy socjalnej" to rażące naruszenie sprawiedliwości.</w:t>
            </w:r>
          </w:p>
        </w:tc>
        <w:tc>
          <w:tcPr/>
          <w:p w:rsidR="00000000" w:rsidDel="00000000" w:rsidP="00000000" w:rsidRDefault="00000000" w:rsidRPr="00000000" w14:paraId="00000021">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before="120" w:line="276" w:lineRule="auto"/>
              <w:ind w:left="643" w:right="-53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22</w:t>
            </w:r>
          </w:p>
        </w:tc>
        <w:tc>
          <w:tcPr>
            <w:vAlign w:val="center"/>
          </w:tcPr>
          <w:p w:rsidR="00000000" w:rsidDel="00000000" w:rsidP="00000000" w:rsidRDefault="00000000" w:rsidRPr="00000000" w14:paraId="00000023">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tc>
        <w:tc>
          <w:tcPr>
            <w:vAlign w:val="center"/>
          </w:tcPr>
          <w:p w:rsidR="00000000" w:rsidDel="00000000" w:rsidP="00000000" w:rsidRDefault="00000000" w:rsidRPr="00000000" w14:paraId="00000024">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5">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Naruszenie Konstytucji RP (ochrona praw nabytych, zasada równości) oraz obietnic rządu z 2018 r.</w:t>
            </w:r>
            <w:r w:rsidDel="00000000" w:rsidR="00000000" w:rsidRPr="00000000">
              <w:rPr>
                <w:rtl w:val="0"/>
              </w:rPr>
            </w:r>
          </w:p>
          <w:p w:rsidR="00000000" w:rsidDel="00000000" w:rsidP="00000000" w:rsidRDefault="00000000" w:rsidRPr="00000000" w14:paraId="00000026">
            <w:pPr>
              <w:spacing w:after="120" w:before="12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Zastosowanie nowych, restrykcyjnych przepisów (likwidacja dziedziczenia najmu z art. 691 k.c.- Dz. U. 1964 Nr 16 poz. 93; t.j. Dz. U. z 2025 r. poz. 1071, 1172, 1508,, inwigilacja w księgach wieczystych) do osób, które weszły w stosunek najmu na drodze przetargu majątkowego, jest niedopuszczalną retroakcją i uderza w zaufanie do państwa (Art. 2 Konstytucji RP - Dz.U. 1997, NR 78 poz. 483; zm. Dz.U. 2001 nr 28 poz. 319 26.03.2001; zm. Dz.U. 2006 nr 200 poz. 1471 07.11.2006; zm. Dz.U. 2009 nr 114 poz. 946 21.10.2009). </w:t>
            </w:r>
            <w:r w:rsidDel="00000000" w:rsidR="00000000" w:rsidRPr="00000000">
              <w:rPr>
                <w:rFonts w:ascii="Times New Roman" w:cs="Times New Roman" w:eastAsia="Times New Roman" w:hAnsi="Times New Roman"/>
                <w:b w:val="1"/>
                <w:bCs w:val="1"/>
                <w:sz w:val="20"/>
                <w:szCs w:val="20"/>
                <w:rtl w:val="0"/>
              </w:rPr>
              <w:t xml:space="preserve">Należy z całą mocą podkreślić, że ustawodawca w przepisach przejściowych nowelizacji z 22 marca 2018 r. (Dz. U. z 2018 r. poz. 756) - art. 16 ust. 2, celowo i świadomie wyłączył stosowanie weryfikacji dochodowej oraz rygorów nadmetrażu do umów zawartych przed 21 kwietnia 2019 r., chroniąc prawa nabyte ówczesnych lokatorów. Obecny projekt UD313 brutalnie cofa te ustawowe gwarancje, co drastycznie podważa zaufanie obywateli do stałości prawa.</w:t>
            </w:r>
          </w:p>
          <w:p w:rsidR="00000000" w:rsidDel="00000000" w:rsidP="00000000" w:rsidRDefault="00000000" w:rsidRPr="00000000" w14:paraId="00000027">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Stanowi to ingerencję w prawa majątkowe nabyte drogą cywilnoprawnego ekwiwalentu, co narusza art. 21 ust. 1 oraz art. 64 ust. 1 i 2 Konstytucji RP. Należy w tym miejscu przywołać </w:t>
            </w:r>
            <w:r w:rsidDel="00000000" w:rsidR="00000000" w:rsidRPr="00000000">
              <w:rPr>
                <w:rFonts w:ascii="Times New Roman" w:cs="Times New Roman" w:eastAsia="Times New Roman" w:hAnsi="Times New Roman"/>
                <w:b w:val="1"/>
                <w:bCs w:val="1"/>
                <w:sz w:val="20"/>
                <w:szCs w:val="20"/>
                <w:rtl w:val="0"/>
              </w:rPr>
              <w:t xml:space="preserve">wyrok Trybunału Konstytucyjnego z 12 stycznia 2000 r. (sygn. akt P 11/98),</w:t>
            </w:r>
            <w:r w:rsidDel="00000000" w:rsidR="00000000" w:rsidRPr="00000000">
              <w:rPr>
                <w:rFonts w:ascii="Times New Roman" w:cs="Times New Roman" w:eastAsia="Times New Roman" w:hAnsi="Times New Roman"/>
                <w:sz w:val="20"/>
                <w:szCs w:val="20"/>
                <w:rtl w:val="0"/>
              </w:rPr>
              <w:t xml:space="preserve"> wydany na kanwie przepisów regulujących najem lokali w okresie funkcjonowania programów czynszowych. Trybunał wyraźnie wskazał, że </w:t>
            </w:r>
            <w:r w:rsidDel="00000000" w:rsidR="00000000" w:rsidRPr="00000000">
              <w:rPr>
                <w:rFonts w:ascii="Times New Roman" w:cs="Times New Roman" w:eastAsia="Times New Roman" w:hAnsi="Times New Roman"/>
                <w:b w:val="1"/>
                <w:bCs w:val="1"/>
                <w:sz w:val="20"/>
                <w:szCs w:val="20"/>
                <w:rtl w:val="0"/>
              </w:rPr>
              <w:t xml:space="preserve">regułą jest czynsz wolny — ustalany przez strony w umowie — a czynsz regulowany stanowi jedynie wyjątek, dopuszczalny tylko w przypadkach wprost wskazanych przez ustawodawcę i pod warunkiem dochowania zasady proporcjonalności.</w:t>
            </w:r>
            <w:r w:rsidDel="00000000" w:rsidR="00000000" w:rsidRPr="00000000">
              <w:rPr>
                <w:rFonts w:ascii="Times New Roman" w:cs="Times New Roman" w:eastAsia="Times New Roman" w:hAnsi="Times New Roman"/>
                <w:sz w:val="20"/>
                <w:szCs w:val="20"/>
                <w:rtl w:val="0"/>
              </w:rPr>
              <w:t xml:space="preserve"> Trybunał podkreślił przy tym, że ograniczenia prawa własności i swobody kształtowania czynszu nie mogą być stosowane w sposób, który nakłada na stronę ciężary nieproporcjonalne do realizowanego celu społecznego i pozbawia ją minimalnego substratu praw nabytych. Objęcie po ponad 20 latach naszych umów — zawartych na zasadach w pełni rynkowych, w zamian za nieodwracalne świadczenia majątkowe — reżimem weryfikacji dochodowej i majątkowej przewidzianym w projekcie ustawy UD313 jest sprzeczne z cywilnoprawną i ekwiwalentną naturą tych stosunków prawnych oraz z logiką konstytucyjną wyrażoną w powyższym wyroku.</w:t>
            </w:r>
          </w:p>
          <w:p w:rsidR="00000000" w:rsidDel="00000000" w:rsidP="00000000" w:rsidRDefault="00000000" w:rsidRPr="00000000" w14:paraId="00000028">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Dodatkowo jest to jawne </w:t>
            </w:r>
            <w:r w:rsidDel="00000000" w:rsidR="00000000" w:rsidRPr="00000000">
              <w:rPr>
                <w:rFonts w:ascii="Times New Roman" w:cs="Times New Roman" w:eastAsia="Times New Roman" w:hAnsi="Times New Roman"/>
                <w:b w:val="1"/>
                <w:bCs w:val="1"/>
                <w:sz w:val="20"/>
                <w:szCs w:val="20"/>
                <w:rtl w:val="0"/>
              </w:rPr>
              <w:t xml:space="preserve">złamanie publicznych gwarancji rządu</w:t>
            </w:r>
            <w:r w:rsidDel="00000000" w:rsidR="00000000" w:rsidRPr="00000000">
              <w:rPr>
                <w:rFonts w:ascii="Times New Roman" w:cs="Times New Roman" w:eastAsia="Times New Roman" w:hAnsi="Times New Roman"/>
                <w:sz w:val="20"/>
                <w:szCs w:val="20"/>
                <w:rtl w:val="0"/>
              </w:rPr>
              <w:t xml:space="preserve"> z 5 marca 2018 r. (Sekretarz Stanu K. Smoliński w Senacie gwarantował utrzymanie dziedziczenia tych konkretnych umów)</w:t>
            </w:r>
          </w:p>
          <w:p w:rsidR="00000000" w:rsidDel="00000000" w:rsidP="00000000" w:rsidRDefault="00000000" w:rsidRPr="00000000" w14:paraId="00000029">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Dodatkowo, przewidziane w projekcie UD313 wyłączenie z weryfikacji dochodowej jedynie osób, które przekazały własność (Art. 10 projektu), przy pominięciu osób zdających lokale komunalne, dyskryminuje uczestników tego samego programu i rażąco narusza zasadę równości wobec prawa (</w:t>
            </w:r>
            <w:r w:rsidDel="00000000" w:rsidR="00000000" w:rsidRPr="00000000">
              <w:rPr>
                <w:rFonts w:ascii="Times New Roman" w:cs="Times New Roman" w:eastAsia="Times New Roman" w:hAnsi="Times New Roman"/>
                <w:b w:val="1"/>
                <w:bCs w:val="1"/>
                <w:sz w:val="20"/>
                <w:szCs w:val="20"/>
                <w:rtl w:val="0"/>
              </w:rPr>
              <w:t xml:space="preserve">Art. 32 Konstytucji RP</w:t>
            </w:r>
            <w:r w:rsidDel="00000000" w:rsidR="00000000" w:rsidRPr="00000000">
              <w:rPr>
                <w:rFonts w:ascii="Times New Roman" w:cs="Times New Roman" w:eastAsia="Times New Roman" w:hAnsi="Times New Roman"/>
                <w:sz w:val="20"/>
                <w:szCs w:val="20"/>
                <w:rtl w:val="0"/>
              </w:rPr>
              <w:t xml:space="preserve">).</w:t>
            </w:r>
          </w:p>
        </w:tc>
        <w:tc>
          <w:tcPr/>
          <w:p w:rsidR="00000000" w:rsidDel="00000000" w:rsidP="00000000" w:rsidRDefault="00000000" w:rsidRPr="00000000" w14:paraId="0000002A">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before="120" w:line="276" w:lineRule="auto"/>
              <w:ind w:left="643"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2C">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tc>
        <w:tc>
          <w:tcPr>
            <w:vAlign w:val="center"/>
          </w:tcPr>
          <w:p w:rsidR="00000000" w:rsidDel="00000000" w:rsidP="00000000" w:rsidRDefault="00000000" w:rsidRPr="00000000" w14:paraId="0000002D">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E">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Brak uwzględnienia ekwiwalentnego charakteru świadczeń najemców</w:t>
            </w:r>
            <w:r w:rsidDel="00000000" w:rsidR="00000000" w:rsidRPr="00000000">
              <w:rPr>
                <w:rtl w:val="0"/>
              </w:rPr>
            </w:r>
          </w:p>
          <w:p w:rsidR="00000000" w:rsidDel="00000000" w:rsidP="00000000" w:rsidRDefault="00000000" w:rsidRPr="00000000" w14:paraId="0000002F">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ramach programu najemcy przekazywali miastu </w:t>
            </w:r>
            <w:r w:rsidDel="00000000" w:rsidR="00000000" w:rsidRPr="00000000">
              <w:rPr>
                <w:rFonts w:ascii="Times New Roman" w:cs="Times New Roman" w:eastAsia="Times New Roman" w:hAnsi="Times New Roman"/>
                <w:b w:val="1"/>
                <w:bCs w:val="1"/>
                <w:sz w:val="20"/>
                <w:szCs w:val="20"/>
                <w:rtl w:val="0"/>
              </w:rPr>
              <w:t xml:space="preserve">(lub poprzednim najemcom, zdejmując z gminy ciężar zapewnienia im lokali zamiennych)</w:t>
            </w:r>
            <w:r w:rsidDel="00000000" w:rsidR="00000000" w:rsidRPr="00000000">
              <w:rPr>
                <w:rFonts w:ascii="Times New Roman" w:cs="Times New Roman" w:eastAsia="Times New Roman" w:hAnsi="Times New Roman"/>
                <w:sz w:val="20"/>
                <w:szCs w:val="20"/>
                <w:rtl w:val="0"/>
              </w:rPr>
              <w:t xml:space="preserve"> lokale stanowiące ich własność lub inne prawa majątkowe (w tym intratne prawa do komunalnych mieszkań na Żoliborzu czy Powiślu), co skutkowało gigantycznym wzbogaceniem zasobu miasta. Jednocześnie część tych lokali została następnie sprzedana przez miasto z bonifikatą, co oznacza, że miasto uzyskało wymierne korzyści majątkowe z tytułu realizacji programu. Projekt ustawy nie uwzględnia tej szczególnej sytuacji.</w:t>
            </w:r>
          </w:p>
        </w:tc>
        <w:tc>
          <w:tcPr/>
          <w:p w:rsidR="00000000" w:rsidDel="00000000" w:rsidP="00000000" w:rsidRDefault="00000000" w:rsidRPr="00000000" w14:paraId="00000030">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00" w:before="120" w:line="276" w:lineRule="auto"/>
              <w:ind w:left="643" w:right="-534" w:firstLine="0"/>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32">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p w:rsidR="00000000" w:rsidDel="00000000" w:rsidP="00000000" w:rsidRDefault="00000000" w:rsidRPr="00000000" w14:paraId="00000033">
            <w:pPr>
              <w:spacing w:after="120" w:before="12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4">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5">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Ryzyko roszczeń odszkodowawczych wobec samorządów z tytułu bezpodstawnego wzbogacenia</w:t>
            </w:r>
            <w:r w:rsidDel="00000000" w:rsidR="00000000" w:rsidRPr="00000000">
              <w:rPr>
                <w:rtl w:val="0"/>
              </w:rPr>
            </w:r>
          </w:p>
          <w:p w:rsidR="00000000" w:rsidDel="00000000" w:rsidP="00000000" w:rsidRDefault="00000000" w:rsidRPr="00000000" w14:paraId="00000036">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Wprowadzenie ustawy w obecnym kształcie wymusi na gminach wypowiadanie umów najemcom "eksperymentalnym" (lub odbierze ich zstępnym prawo do najmu). Spowoduje to upadek podstawy prawnej (</w:t>
            </w:r>
            <w:r w:rsidDel="00000000" w:rsidR="00000000" w:rsidRPr="00000000">
              <w:rPr>
                <w:rFonts w:ascii="Times New Roman" w:cs="Times New Roman" w:eastAsia="Times New Roman" w:hAnsi="Times New Roman"/>
                <w:i w:val="1"/>
                <w:iCs w:val="1"/>
                <w:sz w:val="20"/>
                <w:szCs w:val="20"/>
                <w:rtl w:val="0"/>
              </w:rPr>
              <w:t xml:space="preserve">causy</w:t>
            </w:r>
            <w:r w:rsidDel="00000000" w:rsidR="00000000" w:rsidRPr="00000000">
              <w:rPr>
                <w:rFonts w:ascii="Times New Roman" w:cs="Times New Roman" w:eastAsia="Times New Roman" w:hAnsi="Times New Roman"/>
                <w:sz w:val="20"/>
                <w:szCs w:val="20"/>
                <w:rtl w:val="0"/>
              </w:rPr>
              <w:t xml:space="preserve">) pierwotnej transakcji, w której lokatorzy oddali swoje dawne mieszkania w zamian za najem z obietnicą wykupu. Skutkiem będzie natychmiastowe wystąpienie przez najemców z masowymi roszczeniami o zwrot przekazanych miastu lokali – w wartości zwaloryzowanej do cen rynkowych z 2026 roku. Najemcy zyskają podstawę do żądania zwrotu wielomilionowych nadpłat z tytułu nieważnych (narzuconych przetargowo z pominięciem art. 7 obowiązującej ustawy z dnia 21 czerwca 2001 r. o ochronie praw lokatorów) stawek czynszu. Ustawa doprowadzi do chaosu finansowego w m.st. Warszawie.</w:t>
            </w:r>
          </w:p>
        </w:tc>
        <w:tc>
          <w:tcPr/>
          <w:p w:rsidR="00000000" w:rsidDel="00000000" w:rsidP="00000000" w:rsidRDefault="00000000" w:rsidRPr="00000000" w14:paraId="00000037">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00" w:before="120" w:line="276" w:lineRule="auto"/>
              <w:ind w:left="643" w:right="-534" w:firstLine="0"/>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39">
            <w:pPr>
              <w:spacing w:after="120" w:before="12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A">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B">
            <w:pPr>
              <w:spacing w:after="120" w:before="120" w:lineRule="auto"/>
              <w:jc w:val="both"/>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03C">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03D">
            <w:pPr>
              <w:spacing w:after="120" w:before="12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sz w:val="24"/>
                <w:szCs w:val="24"/>
                <w:rtl w:val="0"/>
              </w:rPr>
              <w:t xml:space="preserve">Uwagi do projektu ustawy</w:t>
            </w:r>
            <w:r w:rsidDel="00000000" w:rsidR="00000000" w:rsidRPr="00000000">
              <w:rPr>
                <w:rtl w:val="0"/>
              </w:rPr>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00" w:before="120" w:line="276" w:lineRule="auto"/>
              <w:ind w:left="644" w:right="-534"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043">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tc>
        <w:tc>
          <w:tcPr>
            <w:vAlign w:val="center"/>
          </w:tcPr>
          <w:p w:rsidR="00000000" w:rsidDel="00000000" w:rsidP="00000000" w:rsidRDefault="00000000" w:rsidRPr="00000000" w14:paraId="00000044">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 pkt 7 projektu (art. 18a i 18b ustawy)</w:t>
            </w:r>
          </w:p>
        </w:tc>
        <w:tc>
          <w:tcPr>
            <w:vAlign w:val="center"/>
          </w:tcPr>
          <w:p w:rsidR="00000000" w:rsidDel="00000000" w:rsidP="00000000" w:rsidRDefault="00000000" w:rsidRPr="00000000" w14:paraId="00000045">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Uwaga/Propozycja:</w:t>
            </w:r>
            <w:r w:rsidDel="00000000" w:rsidR="00000000" w:rsidRPr="00000000">
              <w:rPr>
                <w:rFonts w:ascii="Times New Roman" w:cs="Times New Roman" w:eastAsia="Times New Roman" w:hAnsi="Times New Roman"/>
                <w:sz w:val="20"/>
                <w:szCs w:val="20"/>
                <w:rtl w:val="0"/>
              </w:rPr>
              <w:t xml:space="preserve"> Projekt przewiduje, że stosunek najmu wygasa z chwilą śmierci najemcy, a osoby bliskie mogą jedynie ubiegać się o zawarcie nowej umowy najmu, pod warunkiem spełnienia kryteriów dochodowych i majątkowych.</w:t>
            </w:r>
          </w:p>
          <w:p w:rsidR="00000000" w:rsidDel="00000000" w:rsidP="00000000" w:rsidRDefault="00000000" w:rsidRPr="00000000" w14:paraId="00000046">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w:t>
            </w:r>
            <w:r w:rsidDel="00000000" w:rsidR="00000000" w:rsidRPr="00000000">
              <w:rPr>
                <w:rFonts w:ascii="Times New Roman" w:cs="Times New Roman" w:eastAsia="Times New Roman" w:hAnsi="Times New Roman"/>
                <w:sz w:val="20"/>
                <w:szCs w:val="20"/>
                <w:rtl w:val="0"/>
              </w:rPr>
              <w:t xml:space="preserve"> Dodać w art. 18a nowy ust. 3 w brzmieniu: "Przepisów art. 18a i 18b nie stosuje się do lokali mieszkalnych, w których stosunek najmu został nawiązany w wyniku przeniesienia przez najemcę (lub jego poprzednika prawnego) prawa własności lokalu, spółdzielczego prawa do lokalu lub zrzeczenia się prawa do lokalu komunalnego na rzecz gminy lub innej osoby fizycznej wskazanej przez gminę </w:t>
            </w:r>
            <w:r w:rsidDel="00000000" w:rsidR="00000000" w:rsidRPr="00000000">
              <w:rPr>
                <w:rFonts w:ascii="Times New Roman" w:cs="Times New Roman" w:eastAsia="Times New Roman" w:hAnsi="Times New Roman"/>
                <w:b w:val="1"/>
                <w:bCs w:val="1"/>
                <w:sz w:val="20"/>
                <w:szCs w:val="20"/>
                <w:rtl w:val="0"/>
              </w:rPr>
              <w:t xml:space="preserve">(w tym poprzednich najemców, z jednoczesną spłatą ich zadłużenia wobec gminy lub bez takiej spłaty)</w:t>
            </w:r>
            <w:r w:rsidDel="00000000" w:rsidR="00000000" w:rsidRPr="00000000">
              <w:rPr>
                <w:rFonts w:ascii="Times New Roman" w:cs="Times New Roman" w:eastAsia="Times New Roman" w:hAnsi="Times New Roman"/>
                <w:sz w:val="20"/>
                <w:szCs w:val="20"/>
                <w:rtl w:val="0"/>
              </w:rPr>
              <w:t xml:space="preserve">. Do najmu tych lokali stosuje się wprost przepisy art. 691 Kodeksu cywilnego." </w:t>
            </w:r>
          </w:p>
          <w:p w:rsidR="00000000" w:rsidDel="00000000" w:rsidP="00000000" w:rsidRDefault="00000000" w:rsidRPr="00000000" w14:paraId="00000047">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Uzasadnienie:</w:t>
            </w:r>
            <w:r w:rsidDel="00000000" w:rsidR="00000000" w:rsidRPr="00000000">
              <w:rPr>
                <w:rFonts w:ascii="Times New Roman" w:cs="Times New Roman" w:eastAsia="Times New Roman" w:hAnsi="Times New Roman"/>
                <w:sz w:val="20"/>
                <w:szCs w:val="20"/>
                <w:rtl w:val="0"/>
              </w:rPr>
              <w:t xml:space="preserve"> Uczestnicy programów czynszowych nabyli prawo do najmu poprzez wniesienie potężnego wkładu majątkowego (wyzbycie się mienia), a nie w ramach pomocy socjalnej. Odbieranie ich zstępnym prawa do kontynuacji najmu na dotychczasowych zasadach i zmuszanie ich do weryfikacji majątkowej (oraz narzucania nowych, drakońskich czynszów) stanowi formę faktycznego wywłaszczenia z dorobku życia rodzin, co wprost łamie art. 2 Konstytucji RP.</w:t>
            </w:r>
          </w:p>
          <w:p w:rsidR="00000000" w:rsidDel="00000000" w:rsidP="00000000" w:rsidRDefault="00000000" w:rsidRPr="00000000" w14:paraId="00000048">
            <w:pPr>
              <w:spacing w:after="120" w:before="120" w:lineRule="auto"/>
              <w:jc w:val="both"/>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049">
            <w:pPr>
              <w:spacing w:after="120" w:before="120" w:lineRule="auto"/>
              <w:jc w:val="both"/>
              <w:rPr>
                <w:rFonts w:ascii="Times New Roman" w:cs="Times New Roman" w:eastAsia="Times New Roman" w:hAnsi="Times New Roman"/>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00" w:before="120" w:line="276" w:lineRule="auto"/>
              <w:ind w:left="36" w:right="-53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04B">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tc>
        <w:tc>
          <w:tcPr>
            <w:vAlign w:val="center"/>
          </w:tcPr>
          <w:p w:rsidR="00000000" w:rsidDel="00000000" w:rsidP="00000000" w:rsidRDefault="00000000" w:rsidRPr="00000000" w14:paraId="0000004C">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 pkt 10 projektu – dodawane w art. 21b ust. 4, 5a, 5b, 7 i 8 – weryfikacja w Księgach Wieczystych</w:t>
            </w:r>
          </w:p>
        </w:tc>
        <w:tc>
          <w:tcPr>
            <w:vAlign w:val="center"/>
          </w:tcPr>
          <w:p w:rsidR="00000000" w:rsidDel="00000000" w:rsidP="00000000" w:rsidRDefault="00000000" w:rsidRPr="00000000" w14:paraId="0000004D">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w:t>
            </w:r>
            <w:r w:rsidDel="00000000" w:rsidR="00000000" w:rsidRPr="00000000">
              <w:rPr>
                <w:rFonts w:ascii="Times New Roman" w:cs="Times New Roman" w:eastAsia="Times New Roman" w:hAnsi="Times New Roman"/>
                <w:sz w:val="20"/>
                <w:szCs w:val="20"/>
                <w:rtl w:val="0"/>
              </w:rPr>
              <w:t xml:space="preserve"> Dodać do art. 21b nowy ustęp wyłączający w brzmieniu: "Przepisów art. 21b ust. 4, 5a, 5b, 7 i 8 nie stosuje się do lokali mieszkalnych, w których stosunek najmu został nawiązany na warunkach określonych w art. 21d niniejszej ustawy (tj. w wyniku przekazania mienia na rzecz gminy lub </w:t>
            </w:r>
            <w:r w:rsidDel="00000000" w:rsidR="00000000" w:rsidRPr="00000000">
              <w:rPr>
                <w:rFonts w:ascii="Times New Roman" w:cs="Times New Roman" w:eastAsia="Times New Roman" w:hAnsi="Times New Roman"/>
                <w:b w:val="1"/>
                <w:bCs w:val="1"/>
                <w:sz w:val="20"/>
                <w:szCs w:val="20"/>
                <w:rtl w:val="0"/>
              </w:rPr>
              <w:t xml:space="preserve">poprzednich najemców</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E">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Uzasadnienie:</w:t>
            </w:r>
            <w:r w:rsidDel="00000000" w:rsidR="00000000" w:rsidRPr="00000000">
              <w:rPr>
                <w:rFonts w:ascii="Times New Roman" w:cs="Times New Roman" w:eastAsia="Times New Roman" w:hAnsi="Times New Roman"/>
                <w:sz w:val="20"/>
                <w:szCs w:val="20"/>
                <w:rtl w:val="0"/>
              </w:rPr>
              <w:t xml:space="preserve"> Projekt zmusza do raportowania posiadania innych lokali pod groźbą wypowiedzenia umowy i daje gminie prawo do inwigilacji w Księgach Wieczystych. Uczestnicy programu przetargowego z lat 1998-2002 wchodzili w rynkowe umowy z wolnym czynszem, nie mieli zakazu posiadania innego majątku i w międzyczasie zgodnie z prawem inwestowali (np. biorąc kredyty dla dzieci). Wypowiadanie im umów w skróconym, miesięcznym trybie (nowy art. 21b ust. 5b) za posiadanie legalnie nabytej innej nieruchomości (w tym także innego charakteru np. usługowej) to rażące i niekonstytucyjne działanie wstecz.</w:t>
            </w:r>
          </w:p>
        </w:tc>
        <w:tc>
          <w:tcPr/>
          <w:p w:rsidR="00000000" w:rsidDel="00000000" w:rsidP="00000000" w:rsidRDefault="00000000" w:rsidRPr="00000000" w14:paraId="0000004F">
            <w:pPr>
              <w:spacing w:after="120" w:before="120" w:lineRule="auto"/>
              <w:jc w:val="both"/>
              <w:rPr>
                <w:rFonts w:ascii="Times New Roman" w:cs="Times New Roman" w:eastAsia="Times New Roman" w:hAnsi="Times New Roman"/>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00" w:before="120" w:line="276" w:lineRule="auto"/>
              <w:ind w:right="-534"/>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051">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p w:rsidR="00000000" w:rsidDel="00000000" w:rsidP="00000000" w:rsidRDefault="00000000" w:rsidRPr="00000000" w14:paraId="00000052">
            <w:pPr>
              <w:spacing w:after="120" w:before="12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53">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10 ust. 1 pkt 2 projektu oraz dodawany art. 21d ustawy – zwolnienie z weryfikacji dochodowej)</w:t>
            </w:r>
          </w:p>
        </w:tc>
        <w:tc>
          <w:tcPr>
            <w:vAlign w:val="center"/>
          </w:tcPr>
          <w:p w:rsidR="00000000" w:rsidDel="00000000" w:rsidP="00000000" w:rsidRDefault="00000000" w:rsidRPr="00000000" w14:paraId="00000054">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w:t>
            </w:r>
            <w:r w:rsidDel="00000000" w:rsidR="00000000" w:rsidRPr="00000000">
              <w:rPr>
                <w:rFonts w:ascii="Times New Roman" w:cs="Times New Roman" w:eastAsia="Times New Roman" w:hAnsi="Times New Roman"/>
                <w:sz w:val="20"/>
                <w:szCs w:val="20"/>
                <w:rtl w:val="0"/>
              </w:rPr>
              <w:t xml:space="preserve"> Rozszerzenie katalogu wyłączeń. Przepis art. 10 ust. 1 pkt 2 projektu powinien otrzymać brzmienie: "2) przeniesieniu przez najemcę na gminę lub podmioty przez nią wskazane </w:t>
            </w:r>
            <w:r w:rsidDel="00000000" w:rsidR="00000000" w:rsidRPr="00000000">
              <w:rPr>
                <w:rFonts w:ascii="Times New Roman" w:cs="Times New Roman" w:eastAsia="Times New Roman" w:hAnsi="Times New Roman"/>
                <w:b w:val="1"/>
                <w:bCs w:val="1"/>
                <w:sz w:val="20"/>
                <w:szCs w:val="20"/>
                <w:rtl w:val="0"/>
              </w:rPr>
              <w:t xml:space="preserve">(w tym na rzecz poprzednich najemców, z jednoczesną spłatą ich zadłużenia lub bez takiej spłaty)</w:t>
            </w:r>
            <w:r w:rsidDel="00000000" w:rsidR="00000000" w:rsidRPr="00000000">
              <w:rPr>
                <w:rFonts w:ascii="Times New Roman" w:cs="Times New Roman" w:eastAsia="Times New Roman" w:hAnsi="Times New Roman"/>
                <w:sz w:val="20"/>
                <w:szCs w:val="20"/>
                <w:rtl w:val="0"/>
              </w:rPr>
              <w:t xml:space="preserve"> prawa własności innego lokalu, spółdzielczego prawa do lokalu lub zrzeczeniu się prawa najmu do lokalu komunalnego". (Tożsamą zmianę należy wprowadzić w projektowanym art. 21d). </w:t>
            </w:r>
          </w:p>
          <w:p w:rsidR="00000000" w:rsidDel="00000000" w:rsidP="00000000" w:rsidRDefault="00000000" w:rsidRPr="00000000" w14:paraId="00000055">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Uzasadnienie:</w:t>
            </w:r>
            <w:r w:rsidDel="00000000" w:rsidR="00000000" w:rsidRPr="00000000">
              <w:rPr>
                <w:rFonts w:ascii="Times New Roman" w:cs="Times New Roman" w:eastAsia="Times New Roman" w:hAnsi="Times New Roman"/>
                <w:sz w:val="20"/>
                <w:szCs w:val="20"/>
                <w:rtl w:val="0"/>
              </w:rPr>
              <w:t xml:space="preserve"> Projekt zwalnia z weryfikacji dochodowej osoby, które przeniosły na gminę własność, ale w sposób niekonstytucyjny dyskryminuje i pomija osoby, które w ramach tego samego Programu Budownictwa Czynszowego zrzekły się prawa do mieszkań komunalnych (które wówczas mogły wykupić z potężną bonifikatą) oraz tych, którzy na wymóg miasta przekazali swoją własność </w:t>
            </w:r>
            <w:r w:rsidDel="00000000" w:rsidR="00000000" w:rsidRPr="00000000">
              <w:rPr>
                <w:rFonts w:ascii="Times New Roman" w:cs="Times New Roman" w:eastAsia="Times New Roman" w:hAnsi="Times New Roman"/>
                <w:b w:val="1"/>
                <w:bCs w:val="1"/>
                <w:sz w:val="20"/>
                <w:szCs w:val="20"/>
                <w:rtl w:val="0"/>
              </w:rPr>
              <w:t xml:space="preserve">poprzednim najemcom (zdejmując z miasta ustawowy obowiązek zapewnienia im lokali zamiennych, a niejednokrotnie spłacając również ich zadłużenie).</w:t>
            </w:r>
            <w:r w:rsidDel="00000000" w:rsidR="00000000" w:rsidRPr="00000000">
              <w:rPr>
                <w:rFonts w:ascii="Times New Roman" w:cs="Times New Roman" w:eastAsia="Times New Roman" w:hAnsi="Times New Roman"/>
                <w:sz w:val="20"/>
                <w:szCs w:val="20"/>
                <w:rtl w:val="0"/>
              </w:rPr>
              <w:t xml:space="preserve"> Brak tego zapisu narusza zasadę równości wobec prawa (art. 32 Konstytucji RP).</w:t>
            </w:r>
          </w:p>
        </w:tc>
        <w:tc>
          <w:tcPr/>
          <w:p w:rsidR="00000000" w:rsidDel="00000000" w:rsidP="00000000" w:rsidRDefault="00000000" w:rsidRPr="00000000" w14:paraId="00000056">
            <w:pPr>
              <w:spacing w:after="120" w:before="120" w:lineRule="auto"/>
              <w:jc w:val="both"/>
              <w:rPr>
                <w:rFonts w:ascii="Times New Roman" w:cs="Times New Roman" w:eastAsia="Times New Roman" w:hAnsi="Times New Roman"/>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00" w:before="120" w:line="276" w:lineRule="auto"/>
              <w:ind w:left="644"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58">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tc>
        <w:tc>
          <w:tcPr>
            <w:vAlign w:val="center"/>
          </w:tcPr>
          <w:p w:rsidR="00000000" w:rsidDel="00000000" w:rsidP="00000000" w:rsidRDefault="00000000" w:rsidRPr="00000000" w14:paraId="00000059">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18a ust. 1 – wygaśnięcie najmu po śmierci najemcy</w:t>
            </w:r>
          </w:p>
        </w:tc>
        <w:tc>
          <w:tcPr>
            <w:vAlign w:val="center"/>
          </w:tcPr>
          <w:p w:rsidR="00000000" w:rsidDel="00000000" w:rsidP="00000000" w:rsidRDefault="00000000" w:rsidRPr="00000000" w14:paraId="0000005A">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B">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Dodać w art. 18a ust. 3: „Przepisu ust. 1 (art. 18a ust. 1) nie stosuje się do lokali, których najem został nawiązany w wyniku przeniesienia przez najemcę lub jego poprzednika prawnego prawa własności lokalu, zrzeczenia się lokalu komunalnego lub innego prawa majątkowego na rzecz gminy lub podmiotu działającego na jej rzecz.”</w:t>
            </w:r>
          </w:p>
        </w:tc>
        <w:tc>
          <w:tcPr/>
          <w:p w:rsidR="00000000" w:rsidDel="00000000" w:rsidP="00000000" w:rsidRDefault="00000000" w:rsidRPr="00000000" w14:paraId="0000005C">
            <w:pPr>
              <w:spacing w:after="120" w:before="120" w:lineRule="auto"/>
              <w:jc w:val="both"/>
              <w:rPr>
                <w:rFonts w:ascii="Times New Roman" w:cs="Times New Roman" w:eastAsia="Times New Roman" w:hAnsi="Times New Roman"/>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before="120" w:line="276" w:lineRule="auto"/>
              <w:ind w:left="644"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5E">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tc>
        <w:tc>
          <w:tcPr>
            <w:vAlign w:val="center"/>
          </w:tcPr>
          <w:p w:rsidR="00000000" w:rsidDel="00000000" w:rsidP="00000000" w:rsidRDefault="00000000" w:rsidRPr="00000000" w14:paraId="0000005F">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18a ust. 2 – wyłączenie art. 691 KC</w:t>
            </w:r>
          </w:p>
        </w:tc>
        <w:tc>
          <w:tcPr>
            <w:vAlign w:val="center"/>
          </w:tcPr>
          <w:p w:rsidR="00000000" w:rsidDel="00000000" w:rsidP="00000000" w:rsidRDefault="00000000" w:rsidRPr="00000000" w14:paraId="00000060">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1">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Dodać w art. 18a ust. 4: „Wyłączenie stosowania art. 691 Kodeksu cywilnego nie dotyczy lokali, których najem został nawiązany w wyniku świadczenia majątkowego najemcy polegającego na przeniesieniu prawa własności lokalu lub zrzeczeniu się prawa do lokalu komunalnego na rzecz gminy lub podmiotu wskazanego przez gminę.”</w:t>
            </w:r>
          </w:p>
        </w:tc>
        <w:tc>
          <w:tcPr/>
          <w:p w:rsidR="00000000" w:rsidDel="00000000" w:rsidP="00000000" w:rsidRDefault="00000000" w:rsidRPr="00000000" w14:paraId="00000062">
            <w:pPr>
              <w:spacing w:after="120" w:before="120" w:lineRule="auto"/>
              <w:jc w:val="both"/>
              <w:rPr>
                <w:rFonts w:ascii="Times New Roman" w:cs="Times New Roman" w:eastAsia="Times New Roman" w:hAnsi="Times New Roman"/>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00" w:before="120" w:line="276" w:lineRule="auto"/>
              <w:ind w:left="644"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64">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tc>
        <w:tc>
          <w:tcPr>
            <w:vAlign w:val="center"/>
          </w:tcPr>
          <w:p w:rsidR="00000000" w:rsidDel="00000000" w:rsidP="00000000" w:rsidRDefault="00000000" w:rsidRPr="00000000" w14:paraId="00000065">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18b ust. 5 – utrata prawa najmu przez osoby posiadające inne mieszkanie</w:t>
            </w:r>
          </w:p>
        </w:tc>
        <w:tc>
          <w:tcPr>
            <w:vAlign w:val="center"/>
          </w:tcPr>
          <w:p w:rsidR="00000000" w:rsidDel="00000000" w:rsidP="00000000" w:rsidRDefault="00000000" w:rsidRPr="00000000" w14:paraId="00000066">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7">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Dodać w art. 18b ust. 5: „Przepisu ust. 5 nie stosuje się do osób będących następcami prawnymi najemców lokali, o których mowa w art. 18a ust. 3.”</w:t>
            </w:r>
          </w:p>
        </w:tc>
        <w:tc>
          <w:tcPr/>
          <w:p w:rsidR="00000000" w:rsidDel="00000000" w:rsidP="00000000" w:rsidRDefault="00000000" w:rsidRPr="00000000" w14:paraId="00000068">
            <w:pPr>
              <w:spacing w:after="120" w:before="120" w:lineRule="auto"/>
              <w:jc w:val="both"/>
              <w:rPr>
                <w:rFonts w:ascii="Times New Roman" w:cs="Times New Roman" w:eastAsia="Times New Roman" w:hAnsi="Times New Roman"/>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00" w:before="120" w:line="276" w:lineRule="auto"/>
              <w:ind w:left="644" w:right="-53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06A">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tc>
        <w:tc>
          <w:tcPr>
            <w:vAlign w:val="center"/>
          </w:tcPr>
          <w:p w:rsidR="00000000" w:rsidDel="00000000" w:rsidP="00000000" w:rsidRDefault="00000000" w:rsidRPr="00000000" w14:paraId="0000006B">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 pkt 6 projektu (art. 18 ust. 2a – odszkodowanie 300%)</w:t>
            </w:r>
          </w:p>
        </w:tc>
        <w:tc>
          <w:tcPr>
            <w:vAlign w:val="center"/>
          </w:tcPr>
          <w:p w:rsidR="00000000" w:rsidDel="00000000" w:rsidP="00000000" w:rsidRDefault="00000000" w:rsidRPr="00000000" w14:paraId="0000006C">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Projekt przewiduje odszkodowanie w wysokości 300% czynszu w przypadku zajmowania lokalu bez tytułu prawnego. </w:t>
            </w:r>
          </w:p>
          <w:p w:rsidR="00000000" w:rsidDel="00000000" w:rsidP="00000000" w:rsidRDefault="00000000" w:rsidRPr="00000000" w14:paraId="0000006D">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w:t>
            </w:r>
            <w:r w:rsidDel="00000000" w:rsidR="00000000" w:rsidRPr="00000000">
              <w:rPr>
                <w:rFonts w:ascii="Times New Roman" w:cs="Times New Roman" w:eastAsia="Times New Roman" w:hAnsi="Times New Roman"/>
                <w:sz w:val="20"/>
                <w:szCs w:val="20"/>
                <w:rtl w:val="0"/>
              </w:rPr>
              <w:t xml:space="preserve"> „Przepisu art. 18 ust. 2a nie stosuje się do osób będących następcami prawnymi najemców lokali, o których mowa w art. 18a ust. 3.” </w:t>
            </w:r>
          </w:p>
          <w:p w:rsidR="00000000" w:rsidDel="00000000" w:rsidP="00000000" w:rsidRDefault="00000000" w:rsidRPr="00000000" w14:paraId="0000006E">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Uzasadnienie:</w:t>
            </w:r>
            <w:r w:rsidDel="00000000" w:rsidR="00000000" w:rsidRPr="00000000">
              <w:rPr>
                <w:rFonts w:ascii="Times New Roman" w:cs="Times New Roman" w:eastAsia="Times New Roman" w:hAnsi="Times New Roman"/>
                <w:sz w:val="20"/>
                <w:szCs w:val="20"/>
                <w:rtl w:val="0"/>
              </w:rPr>
              <w:t xml:space="preserve"> Osoby te (lub ich poprzednicy) przekazali własny majątek w zamian za najem, co radykalnie odróżnia ich sytuację od osób bezprawnie korzystających z lokali komunalnych pochodzących z zasobu pomocy socjalnej. Karani byliby w ten sposób najemcy, którzy zawarli z gminą niegdysiejszy kontrakt cywilny.</w:t>
            </w:r>
          </w:p>
        </w:tc>
        <w:tc>
          <w:tcPr/>
          <w:p w:rsidR="00000000" w:rsidDel="00000000" w:rsidP="00000000" w:rsidRDefault="00000000" w:rsidRPr="00000000" w14:paraId="0000006F">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00" w:before="120" w:line="276" w:lineRule="auto"/>
              <w:ind w:left="644"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71">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tc>
        <w:tc>
          <w:tcPr>
            <w:vAlign w:val="center"/>
          </w:tcPr>
          <w:p w:rsidR="00000000" w:rsidDel="00000000" w:rsidP="00000000" w:rsidRDefault="00000000" w:rsidRPr="00000000" w14:paraId="00000072">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2 ustawy</w:t>
            </w:r>
          </w:p>
        </w:tc>
        <w:tc>
          <w:tcPr>
            <w:vAlign w:val="center"/>
          </w:tcPr>
          <w:p w:rsidR="00000000" w:rsidDel="00000000" w:rsidP="00000000" w:rsidRDefault="00000000" w:rsidRPr="00000000" w14:paraId="00000073">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 </w:t>
            </w:r>
            <w:r w:rsidDel="00000000" w:rsidR="00000000" w:rsidRPr="00000000">
              <w:rPr>
                <w:rFonts w:ascii="Times New Roman" w:cs="Times New Roman" w:eastAsia="Times New Roman" w:hAnsi="Times New Roman"/>
                <w:sz w:val="20"/>
                <w:szCs w:val="20"/>
                <w:rtl w:val="0"/>
              </w:rPr>
              <w:t xml:space="preserve">w art. 2 ustawy o ochronie praw lokatorów nowego pkt 9 w brzmieniu: „9) lokalu programowym – należy przez to rozumieć lokal mieszkalny oddany w najem w ramach programu budownictwa czynszowego realizowanego przez gminę lub jej poprzednika prawnego, w którym warunkiem zawarcia umowy najmu było przeniesienie przez najemcę lub jego poprzednika prawnego prawa własności lokalu mieszkalnego, spółdzielczego własnościowego prawa do lokalu, zrzeczenie się prawa do lokalu komunalnego albo innego prawa majątkowego na rzecz gminy lub podmiotu działającego na jej rzecz (w tym na rzecz poprzedniego najemcy, z jednoczesną spłatą jego zadłużenia wobec gminy lub bez takiej spłaty”</w:t>
            </w:r>
          </w:p>
        </w:tc>
        <w:tc>
          <w:tcPr/>
          <w:p w:rsidR="00000000" w:rsidDel="00000000" w:rsidP="00000000" w:rsidRDefault="00000000" w:rsidRPr="00000000" w14:paraId="00000074">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00" w:before="120" w:line="276" w:lineRule="auto"/>
              <w:ind w:left="644"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76">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tc>
        <w:tc>
          <w:tcPr>
            <w:vAlign w:val="center"/>
          </w:tcPr>
          <w:p w:rsidR="00000000" w:rsidDel="00000000" w:rsidP="00000000" w:rsidRDefault="00000000" w:rsidRPr="00000000" w14:paraId="00000077">
            <w:pPr>
              <w:spacing w:after="120" w:before="12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Dodać art. 1a i 1b ustawy</w:t>
            </w:r>
          </w:p>
        </w:tc>
        <w:tc>
          <w:tcPr>
            <w:vAlign w:val="center"/>
          </w:tcPr>
          <w:p w:rsidR="00000000" w:rsidDel="00000000" w:rsidP="00000000" w:rsidRDefault="00000000" w:rsidRPr="00000000" w14:paraId="00000078">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Proponuje się dodanie nowego</w:t>
            </w:r>
            <w:r w:rsidDel="00000000" w:rsidR="00000000" w:rsidRPr="00000000">
              <w:rPr>
                <w:rFonts w:ascii="Times New Roman" w:cs="Times New Roman" w:eastAsia="Times New Roman" w:hAnsi="Times New Roman"/>
                <w:sz w:val="20"/>
                <w:szCs w:val="20"/>
                <w:rtl w:val="0"/>
              </w:rPr>
              <w:t xml:space="preserve"> art. 1a ustawy w brzmieniu: </w:t>
            </w:r>
          </w:p>
          <w:p w:rsidR="00000000" w:rsidDel="00000000" w:rsidP="00000000" w:rsidRDefault="00000000" w:rsidRPr="00000000" w14:paraId="00000079">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1a. </w:t>
            </w:r>
          </w:p>
          <w:p w:rsidR="00000000" w:rsidDel="00000000" w:rsidP="00000000" w:rsidRDefault="00000000" w:rsidRPr="00000000" w14:paraId="0000007A">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Przepisów ustawy nie stosuje się do lokali programowych, o których mowa w art. 2 pkt 9. </w:t>
            </w:r>
          </w:p>
          <w:p w:rsidR="00000000" w:rsidDel="00000000" w:rsidP="00000000" w:rsidRDefault="00000000" w:rsidRPr="00000000" w14:paraId="0000007B">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Do lokali programowych stosuje się przepisy odrębne określające zasady najmu, w szczególności w zakresie: zasad zawierania i wypowiadania umów najmu, zasad ustalania czynszu, zasad wstępowania w stosunek najmu po śmierci najemcy, praw i obowiązków najemców oraz wynajmującego.”</w:t>
            </w:r>
          </w:p>
          <w:p w:rsidR="00000000" w:rsidDel="00000000" w:rsidP="00000000" w:rsidRDefault="00000000" w:rsidRPr="00000000" w14:paraId="0000007C">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oraz art. 1b w brzmieniu:</w:t>
            </w:r>
          </w:p>
          <w:p w:rsidR="00000000" w:rsidDel="00000000" w:rsidP="00000000" w:rsidRDefault="00000000" w:rsidRPr="00000000" w14:paraId="0000007D">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1b.</w:t>
            </w:r>
          </w:p>
          <w:p w:rsidR="00000000" w:rsidDel="00000000" w:rsidP="00000000" w:rsidRDefault="00000000" w:rsidRPr="00000000" w14:paraId="0000007E">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Minister właściwy do spraw budownictwa, planowania i zagospodarowania przestrzennego oraz mieszkalnictwa określi, w drodze rozporządzenia, szczegółowe zasady najmu lokali programowych, uwzględniając w szczególności ekwiwalentny charakter świadczeń najemców oraz konieczność zapewnienia ochrony praw majątkowych najemców i ich następców prawnych. </w:t>
            </w:r>
          </w:p>
          <w:p w:rsidR="00000000" w:rsidDel="00000000" w:rsidP="00000000" w:rsidRDefault="00000000" w:rsidRPr="00000000" w14:paraId="0000007F">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Wydając rozporządzenie, minister uwzględni w szczególności: szczególny charakter prawny lokali programowych, fakt przeniesienia przez najemców prawa własności lokalu (lub lokalu komunalnego/innego) na rzecz gminy, konieczność zapewnienia stabilności stosunku najmu, zasady sprawiedliwości społecznej i ochrony praw słusznie nabytych.”</w:t>
            </w:r>
          </w:p>
          <w:p w:rsidR="00000000" w:rsidDel="00000000" w:rsidP="00000000" w:rsidRDefault="00000000" w:rsidRPr="00000000" w14:paraId="00000080">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Uzasadnienie:</w:t>
            </w:r>
            <w:r w:rsidDel="00000000" w:rsidR="00000000" w:rsidRPr="00000000">
              <w:rPr>
                <w:rFonts w:ascii="Times New Roman" w:cs="Times New Roman" w:eastAsia="Times New Roman" w:hAnsi="Times New Roman"/>
                <w:sz w:val="20"/>
                <w:szCs w:val="20"/>
                <w:rtl w:val="0"/>
              </w:rPr>
              <w:t xml:space="preserve"> Lokale programowe stanowią szczególną kategorię lokali, ponieważ stosunek najmu powstał w wyniku świadczenia majątkowego najemcy na rzecz gminy. W związku z tym stosunek najmu ma charakter ekwiwalentny i nie stanowi formy pomocy socjalnej. Wprowadzenie jednolitych zasad dla standardowych lokali komunalnych oraz lokali programowych prowadzi do naruszenia zasady ochrony praw majątkowych, praw nabytych oraz zaufania do państwa. Z uwagi na szczególny charakter tych lokali, zasadne jest wyłączenie ich z represyjnych rygorów UD313.</w:t>
            </w:r>
          </w:p>
        </w:tc>
        <w:tc>
          <w:tcPr/>
          <w:p w:rsidR="00000000" w:rsidDel="00000000" w:rsidP="00000000" w:rsidRDefault="00000000" w:rsidRPr="00000000" w14:paraId="00000081">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00" w:before="120" w:line="276" w:lineRule="auto"/>
              <w:ind w:left="644"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83">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 </w:t>
            </w:r>
          </w:p>
        </w:tc>
        <w:tc>
          <w:tcPr>
            <w:vAlign w:val="center"/>
          </w:tcPr>
          <w:p w:rsidR="00000000" w:rsidDel="00000000" w:rsidP="00000000" w:rsidRDefault="00000000" w:rsidRPr="00000000" w14:paraId="00000084">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 pkt 10 projektu (zmieniane i dodawane ustępy w art. 21b, w tym ust. 4, 5a, 5b, 8)</w:t>
            </w:r>
          </w:p>
        </w:tc>
        <w:tc>
          <w:tcPr>
            <w:vAlign w:val="center"/>
          </w:tcPr>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Proponowana zmiana:</w:t>
            </w:r>
            <w:r w:rsidDel="00000000" w:rsidR="00000000" w:rsidRPr="00000000">
              <w:rPr>
                <w:rFonts w:ascii="Times New Roman" w:cs="Times New Roman" w:eastAsia="Times New Roman" w:hAnsi="Times New Roman"/>
                <w:sz w:val="20"/>
                <w:szCs w:val="20"/>
                <w:rtl w:val="0"/>
              </w:rPr>
              <w:t xml:space="preserve"> Wszędzie tam, gdzie w przepisach art. 21b mowa jest o posiadaniu tytułu prawnego do „innego lokalu lub domu jednorodzinnego”, wnosimy o dodanie słowa „mieszkalnego”, nadając tym fragmentom ostateczne brzmienie: „do innego lokalu mieszkalnego lub domu jednorodzinnego”.</w:t>
            </w:r>
          </w:p>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Uzasadnienie</w:t>
            </w:r>
            <w:r w:rsidDel="00000000" w:rsidR="00000000" w:rsidRPr="00000000">
              <w:rPr>
                <w:rFonts w:ascii="Times New Roman" w:cs="Times New Roman" w:eastAsia="Times New Roman" w:hAnsi="Times New Roman"/>
                <w:sz w:val="20"/>
                <w:szCs w:val="20"/>
                <w:rtl w:val="0"/>
              </w:rPr>
              <w:t xml:space="preserve">: Użycie w projekcie UD313 ogólnego, niezdefiniowanego pojęcia „lokal” stwarza ogromne ryzyko nadinterpretacji przepisów przez gminy. Pojęcie to w polskim prawie obejmuje bowiem również lokale użytkowe (usługowe, handlowe, biurowe), a nierzadko także wyodrębnione prawnie garaże. Posiadanie przez najemcę lokalu usługowego (np. nabytego w związku z prowadzoną jednoosobową działalnością gospodarczą) w żaden sposób nie zaspokaja jego potrzeb mieszkaniowych. Sankcjonowanie faktu posiadania lokalu niemieszkalnego wypowiedzeniem umowy najmu mieszkania jest absurdalne, krzywdzące i uderza bezpośrednio w drobnych przedsiębiorców. Doprecyzowanie, że przepis dotyczy wyłącznie „lokali mieszkalnych”, jest absolutnie niezbędne dla zachowania poprawności legislacyjnej i celowości tej ustawy.</w:t>
            </w:r>
          </w:p>
        </w:tc>
        <w:tc>
          <w:tcPr/>
          <w:p w:rsidR="00000000" w:rsidDel="00000000" w:rsidP="00000000" w:rsidRDefault="00000000" w:rsidRPr="00000000" w14:paraId="00000087">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088">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Uwagi do uzasadnienia</w:t>
            </w:r>
          </w:p>
        </w:tc>
      </w:tr>
      <w:tr>
        <w:trPr>
          <w:cantSplit w:val="0"/>
          <w:tblHeader w:val="0"/>
        </w:trPr>
        <w:tc>
          <w:tcPr>
            <w:vAlign w:val="center"/>
          </w:tcPr>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spacing w:after="200" w:before="120" w:line="276" w:lineRule="auto"/>
              <w:ind w:left="36"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8E">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tc>
        <w:tc>
          <w:tcPr>
            <w:vAlign w:val="center"/>
          </w:tcPr>
          <w:p w:rsidR="00000000" w:rsidDel="00000000" w:rsidP="00000000" w:rsidRDefault="00000000" w:rsidRPr="00000000" w14:paraId="0000008F">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90">
            <w:pPr>
              <w:spacing w:after="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Uzasadnienie do projektu całkowicie pomija fakt istnienia historycznych programów mieszkań czynszowych (np. Warszawa 1998-2002), które od samego początku nie były przeznaczone dla osób wymagających pomocy socjalnej, lecz dla osób średniozamożnych, przekazujących własne lokale </w:t>
            </w:r>
            <w:r w:rsidDel="00000000" w:rsidR="00000000" w:rsidRPr="00000000">
              <w:rPr>
                <w:rFonts w:ascii="Times New Roman" w:cs="Times New Roman" w:eastAsia="Times New Roman" w:hAnsi="Times New Roman"/>
                <w:b w:val="1"/>
                <w:bCs w:val="1"/>
                <w:sz w:val="20"/>
                <w:szCs w:val="20"/>
                <w:rtl w:val="0"/>
              </w:rPr>
              <w:t xml:space="preserve">(w tym na rzecz poprzednich najemców, zwalniając gminę z obowiązku ich relokacji)</w:t>
            </w:r>
            <w:r w:rsidDel="00000000" w:rsidR="00000000" w:rsidRPr="00000000">
              <w:rPr>
                <w:rFonts w:ascii="Times New Roman" w:cs="Times New Roman" w:eastAsia="Times New Roman" w:hAnsi="Times New Roman"/>
                <w:sz w:val="20"/>
                <w:szCs w:val="20"/>
                <w:rtl w:val="0"/>
              </w:rPr>
              <w:t xml:space="preserve"> i opłacających na wejściu czynsz wolny</w:t>
            </w:r>
          </w:p>
        </w:tc>
        <w:tc>
          <w:tcPr/>
          <w:p w:rsidR="00000000" w:rsidDel="00000000" w:rsidP="00000000" w:rsidRDefault="00000000" w:rsidRPr="00000000" w14:paraId="00000091">
            <w:pPr>
              <w:spacing w:after="120" w:before="12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spacing w:after="200" w:before="120" w:line="276" w:lineRule="auto"/>
              <w:ind w:left="36"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93">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tc>
        <w:tc>
          <w:tcPr>
            <w:vAlign w:val="center"/>
          </w:tcPr>
          <w:p w:rsidR="00000000" w:rsidDel="00000000" w:rsidP="00000000" w:rsidRDefault="00000000" w:rsidRPr="00000000" w14:paraId="00000094">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95">
            <w:pPr>
              <w:spacing w:after="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.Uzasadnienie do projektu nowelizacji całkowicie pomija historyczny i prawny konsensus wokół uczestników „Programu Budownictwa Czynszowego 1998–2002”. Wyjątkowy charakter naszych umów – oparty na wkładzie majątkowym i rynkowym czynszu – nie jest wyłącznie subiektywnym postulatem lokatorów, lecz obiektywnym faktem potwierdzonym przez szereg organów państwowych i samorządowych.</w:t>
            </w:r>
          </w:p>
          <w:p w:rsidR="00000000" w:rsidDel="00000000" w:rsidP="00000000" w:rsidRDefault="00000000" w:rsidRPr="00000000" w14:paraId="00000096">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Konieczność ochrony naszych praw nabytych i wyodrębnienia tej grupy z ogólnego zasobu komunalnego dostrzegł m.in. Rzecznik Praw Obywatelskich w oficjalnej korespondencji z 2019 r., wprost wskazując na konieczność rozliczenia przekazanego przez nas mienia. Zasadność tych roszczeń poparli również przedstawiciele władz lokalnych, w tym Burmistrzowie dzielnic, na terenie których zrealizowano inwestycje (Żoliborz, Mokotów, Praga-Północ, Praga-Południe).</w:t>
            </w:r>
          </w:p>
          <w:p w:rsidR="00000000" w:rsidDel="00000000" w:rsidP="00000000" w:rsidRDefault="00000000" w:rsidRPr="00000000" w14:paraId="00000097">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Odrębność naszej sytuacji prawnej i ekonomicznej była przedmiotem zgodnych stanowisk m.in. w Departamencie Mieszkalnictwa dawnego Ministerstwa Inwestycji i Rozwoju oraz podczas prac Branżowej Komisji Dialogu Społecznego (2018, 2026). Należy podkreślić, że objęcie nas standardowymi rygorami ustawy jest sprzeczne z pierwotnymi intencjami twórców programu (ówczesnej Gminy Warszawa-Centrum), którzy zakładali docelowe przeniesienie własności tych mieszkań na najemców po zwrocie kosztów inwestycji.</w:t>
            </w:r>
          </w:p>
          <w:p w:rsidR="00000000" w:rsidDel="00000000" w:rsidP="00000000" w:rsidRDefault="00000000" w:rsidRPr="00000000" w14:paraId="00000098">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Dowodem na instytucjonalne uznanie naszej odrębności jest uchwała Rady m.st. Warszawy (nr LIX/1535/2017), która zobowiązywała organy wykonawcze miasta do wdrożenia oddzielnych zasad gospodarowania tymi lokalami. Zaniechania m.st. Warszawy w realizacji tej uchwały nie mogą dziś stanowić dla ustawodawcy pretekstu do objęcia nas restrykcjami wynikającymi z UD313. Forsowanie projektowanych przepisów przy całkowitym zignorowaniu wypracowanych przez lata stanowisk urzędowych stanowi naruszenie standardów rzetelnej legislacji.</w:t>
            </w:r>
          </w:p>
        </w:tc>
        <w:tc>
          <w:tcPr/>
          <w:p w:rsidR="00000000" w:rsidDel="00000000" w:rsidP="00000000" w:rsidRDefault="00000000" w:rsidRPr="00000000" w14:paraId="00000099">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after="200" w:before="120" w:line="276" w:lineRule="auto"/>
              <w:ind w:left="36"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9B">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tc>
        <w:tc>
          <w:tcPr>
            <w:vAlign w:val="center"/>
          </w:tcPr>
          <w:p w:rsidR="00000000" w:rsidDel="00000000" w:rsidP="00000000" w:rsidRDefault="00000000" w:rsidRPr="00000000" w14:paraId="0000009C">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9D">
            <w:pPr>
              <w:spacing w:after="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Uzasadnienie nie odnosi się również do faktu naruszenia deklaracji złożonych przez samych przedstawicieli rządu. W stenogramach z prac komisji senackich (marzec 2018 r.) zapewniano lokatorów tych programów, że w przypadku śmierci głównego najemcy zachowane zostanie prawo do płynnego dziedziczenia umowy. Brak tej analizy prowadzi do błędnego i nieuprawnionego założenia, że projektowane przepisy socjalno-restrykcyjne można bezkarnie zastosować do wszystkich zasobów gminnych, ignorując fundamentalną zasadę ochrony praw słusznie nabytych i naruszając ekwiwalentność dawnych transakcji.</w:t>
            </w:r>
          </w:p>
        </w:tc>
        <w:tc>
          <w:tcPr/>
          <w:p w:rsidR="00000000" w:rsidDel="00000000" w:rsidP="00000000" w:rsidRDefault="00000000" w:rsidRPr="00000000" w14:paraId="0000009E">
            <w:pPr>
              <w:spacing w:after="120" w:before="120" w:lineRule="auto"/>
              <w:jc w:val="both"/>
              <w:rPr>
                <w:rFonts w:ascii="Times New Roman" w:cs="Times New Roman" w:eastAsia="Times New Roman" w:hAnsi="Times New Roman"/>
                <w:sz w:val="20"/>
                <w:szCs w:val="20"/>
                <w:u w:val="single"/>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09F">
            <w:pPr>
              <w:spacing w:after="120" w:before="12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Uwagi do OSR</w:t>
            </w:r>
            <w:r w:rsidDel="00000000" w:rsidR="00000000" w:rsidRPr="00000000">
              <w:rPr>
                <w:rtl w:val="0"/>
              </w:rPr>
            </w:r>
          </w:p>
        </w:tc>
      </w:tr>
      <w:tr>
        <w:trPr>
          <w:cantSplit w:val="0"/>
          <w:tblHeader w:val="0"/>
        </w:trPr>
        <w:tc>
          <w:tcPr/>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after="200" w:before="120" w:line="276" w:lineRule="auto"/>
              <w:ind w:left="36" w:right="-534" w:firstLine="0"/>
              <w:jc w:val="center"/>
              <w:rPr>
                <w:rFonts w:ascii="Times New Roman" w:cs="Times New Roman" w:eastAsia="Times New Roman" w:hAnsi="Times New Roman"/>
                <w:b w:val="1"/>
                <w:bCs w:val="1"/>
                <w:sz w:val="20"/>
                <w:szCs w:val="20"/>
              </w:rPr>
            </w:pPr>
            <w:r w:rsidDel="00000000" w:rsidR="00000000" w:rsidRPr="00000000">
              <w:rPr>
                <w:rtl w:val="0"/>
              </w:rPr>
            </w:r>
          </w:p>
        </w:tc>
        <w:tc>
          <w:tcPr>
            <w:vAlign w:val="center"/>
          </w:tcPr>
          <w:p w:rsidR="00000000" w:rsidDel="00000000" w:rsidP="00000000" w:rsidRDefault="00000000" w:rsidRPr="00000000" w14:paraId="000000A5">
            <w:pPr>
              <w:spacing w:after="120" w:before="12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Mickiewicza 65 oraz mieszkańcy i reprezentanci lokatorów mieszkań wybudowanych w ramach Programu Budownictwa Czynszowego 1998-2002</w:t>
            </w:r>
          </w:p>
        </w:tc>
        <w:tc>
          <w:tcPr>
            <w:vAlign w:val="center"/>
          </w:tcPr>
          <w:p w:rsidR="00000000" w:rsidDel="00000000" w:rsidP="00000000" w:rsidRDefault="00000000" w:rsidRPr="00000000" w14:paraId="000000A6">
            <w:pPr>
              <w:spacing w:after="120" w:before="12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A7">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Ocena Skutków Regulacji jest niekompletna. Nie identyfikuje i nie ocenia wpływu projektowanej ustawy na specyficzną sytuację tysięcy najemców (np. z m.st. Warszawy), którzy zawarli umowy w trybie przetargowym, oddając własne mienie. </w:t>
            </w:r>
          </w:p>
          <w:p w:rsidR="00000000" w:rsidDel="00000000" w:rsidP="00000000" w:rsidRDefault="00000000" w:rsidRPr="00000000" w14:paraId="000000A8">
            <w:pPr>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Przede wszystkim OSR całkowicie pomija gigantyczne i realne ryzyko finansowe dla jednostek samorządu terytorialnego. Zastosowanie restrykcji wynikających z projektu UD313 (wypowiadanie umów za księgi wieczyste, blokada dziedziczenia) uprawni najemców do masowego występowania na drogę sądową z roszczeniami o zwrot zdanych ponad 20 lat temu mieszkań (według zwaloryzowanej wartości rynkowej z 2026 r.) na podstawie przepisów o bezpodstawnym wzbogaceniu gminy po ustaniu </w:t>
            </w:r>
            <w:r w:rsidDel="00000000" w:rsidR="00000000" w:rsidRPr="00000000">
              <w:rPr>
                <w:rFonts w:ascii="Times New Roman" w:cs="Times New Roman" w:eastAsia="Times New Roman" w:hAnsi="Times New Roman"/>
                <w:i w:val="1"/>
                <w:iCs w:val="1"/>
                <w:sz w:val="20"/>
                <w:szCs w:val="20"/>
                <w:rtl w:val="0"/>
              </w:rPr>
              <w:t xml:space="preserve">causy</w:t>
            </w:r>
            <w:r w:rsidDel="00000000" w:rsidR="00000000" w:rsidRPr="00000000">
              <w:rPr>
                <w:rFonts w:ascii="Times New Roman" w:cs="Times New Roman" w:eastAsia="Times New Roman" w:hAnsi="Times New Roman"/>
                <w:sz w:val="20"/>
                <w:szCs w:val="20"/>
                <w:rtl w:val="0"/>
              </w:rPr>
              <w:t xml:space="preserve"> umowy. Ponadto gminy narażają się na zmasowane żądania zwrotu nadpłacanych latami czynszów ustalanych w nieważnych procedurach przetargowych, co potwierdzają prawomocne orzeczenia sądów (np. wyrok chroniący jedną z najemczyń ul. Abramowskiego). W OSR rażąco brakuje szacunków tych potężnych kosztów sądowych, zwrotów majątków i odszkodowań po stronie samorządów</w:t>
            </w:r>
          </w:p>
          <w:p w:rsidR="00000000" w:rsidDel="00000000" w:rsidP="00000000" w:rsidRDefault="00000000" w:rsidRPr="00000000" w14:paraId="000000A9">
            <w:pPr>
              <w:spacing w:after="120" w:before="12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A">
            <w:pPr>
              <w:spacing w:after="120" w:before="120" w:lineRule="auto"/>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A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1906" w:w="16838" w:orient="landscape"/>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Strona | </w:t>
    </w: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tbl>
    <w:tblPr>
      <w:tblStyle w:val="Table2"/>
      <w:tblW w:w="139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3"/>
      <w:gridCol w:w="1912"/>
      <w:gridCol w:w="1857"/>
      <w:gridCol w:w="5558"/>
      <w:gridCol w:w="4114"/>
      <w:tblGridChange w:id="0">
        <w:tblGrid>
          <w:gridCol w:w="553"/>
          <w:gridCol w:w="1912"/>
          <w:gridCol w:w="1857"/>
          <w:gridCol w:w="5558"/>
          <w:gridCol w:w="4114"/>
        </w:tblGrid>
      </w:tblGridChange>
    </w:tblGrid>
    <w:tr>
      <w:trPr>
        <w:cantSplit w:val="0"/>
        <w:trHeight w:val="592" w:hRule="atLeast"/>
        <w:tblHeader w:val="0"/>
      </w:trPr>
      <w:tc>
        <w:tcPr>
          <w:vAlign w:val="center"/>
        </w:tcPr>
        <w:p w:rsidR="00000000" w:rsidDel="00000000" w:rsidP="00000000" w:rsidRDefault="00000000" w:rsidRPr="00000000" w14:paraId="000000A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Lp</w:t>
          </w:r>
          <w:r w:rsidDel="00000000" w:rsidR="00000000" w:rsidRPr="00000000">
            <w:rPr>
              <w:rFonts w:ascii="Times New Roman" w:cs="Times New Roman" w:eastAsia="Times New Roman" w:hAnsi="Times New Roman"/>
              <w:sz w:val="20"/>
              <w:szCs w:val="20"/>
              <w:rtl w:val="0"/>
            </w:rPr>
            <w:t xml:space="preserve">.</w:t>
          </w:r>
        </w:p>
      </w:tc>
      <w:tc>
        <w:tcPr>
          <w:vAlign w:val="center"/>
        </w:tcPr>
        <w:p w:rsidR="00000000" w:rsidDel="00000000" w:rsidP="00000000" w:rsidRDefault="00000000" w:rsidRPr="00000000" w14:paraId="000000AF">
          <w:pPr>
            <w:spacing w:after="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Podmiot zgłaszający uwagę</w:t>
          </w:r>
        </w:p>
      </w:tc>
      <w:tc>
        <w:tcPr>
          <w:vAlign w:val="center"/>
        </w:tcPr>
        <w:p w:rsidR="00000000" w:rsidDel="00000000" w:rsidP="00000000" w:rsidRDefault="00000000" w:rsidRPr="00000000" w14:paraId="000000B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Jednostka redakcyjna </w:t>
            <w:br w:type="textWrapping"/>
            <w:t xml:space="preserve">Strona uzasadnienia</w:t>
            <w:br w:type="textWrapping"/>
            <w:t xml:space="preserve">Pkt OSR</w:t>
          </w:r>
          <w:r w:rsidDel="00000000" w:rsidR="00000000" w:rsidRPr="00000000">
            <w:rPr>
              <w:rtl w:val="0"/>
            </w:rPr>
          </w:r>
        </w:p>
      </w:tc>
      <w:tc>
        <w:tcPr>
          <w:vAlign w:val="center"/>
        </w:tcPr>
        <w:p w:rsidR="00000000" w:rsidDel="00000000" w:rsidP="00000000" w:rsidRDefault="00000000" w:rsidRPr="00000000" w14:paraId="000000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Treść uwagi / Propozycja zapisu</w:t>
          </w:r>
          <w:r w:rsidDel="00000000" w:rsidR="00000000" w:rsidRPr="00000000">
            <w:rPr>
              <w:rtl w:val="0"/>
            </w:rPr>
          </w:r>
        </w:p>
      </w:tc>
      <w:tc>
        <w:tcPr/>
        <w:p w:rsidR="00000000" w:rsidDel="00000000" w:rsidP="00000000" w:rsidRDefault="00000000" w:rsidRPr="00000000" w14:paraId="000000B2">
          <w:pPr>
            <w:jc w:val="center"/>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Stanowisko MRiT</w:t>
          </w:r>
        </w:p>
      </w:tc>
    </w:tr>
  </w:tbl>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157" w:hanging="360"/>
      </w:pPr>
      <w:rPr/>
    </w:lvl>
    <w:lvl w:ilvl="2">
      <w:start w:val="1"/>
      <w:numFmt w:val="lowerRoman"/>
      <w:lvlText w:val="%3."/>
      <w:lvlJc w:val="right"/>
      <w:pPr>
        <w:ind w:left="1877" w:hanging="180"/>
      </w:pPr>
      <w:rPr/>
    </w:lvl>
    <w:lvl w:ilvl="3">
      <w:start w:val="1"/>
      <w:numFmt w:val="decimal"/>
      <w:lvlText w:val="%4."/>
      <w:lvlJc w:val="left"/>
      <w:pPr>
        <w:ind w:left="2597" w:hanging="360"/>
      </w:pPr>
      <w:rPr/>
    </w:lvl>
    <w:lvl w:ilvl="4">
      <w:start w:val="1"/>
      <w:numFmt w:val="lowerLetter"/>
      <w:lvlText w:val="%5."/>
      <w:lvlJc w:val="left"/>
      <w:pPr>
        <w:ind w:left="3317" w:hanging="360"/>
      </w:pPr>
      <w:rPr/>
    </w:lvl>
    <w:lvl w:ilvl="5">
      <w:start w:val="1"/>
      <w:numFmt w:val="lowerRoman"/>
      <w:lvlText w:val="%6."/>
      <w:lvlJc w:val="right"/>
      <w:pPr>
        <w:ind w:left="4037" w:hanging="180"/>
      </w:pPr>
      <w:rPr/>
    </w:lvl>
    <w:lvl w:ilvl="6">
      <w:start w:val="1"/>
      <w:numFmt w:val="decimal"/>
      <w:lvlText w:val="%7."/>
      <w:lvlJc w:val="left"/>
      <w:pPr>
        <w:ind w:left="4757" w:hanging="360"/>
      </w:pPr>
      <w:rPr/>
    </w:lvl>
    <w:lvl w:ilvl="7">
      <w:start w:val="1"/>
      <w:numFmt w:val="lowerLetter"/>
      <w:lvlText w:val="%8."/>
      <w:lvlJc w:val="left"/>
      <w:pPr>
        <w:ind w:left="5477" w:hanging="360"/>
      </w:pPr>
      <w:rPr/>
    </w:lvl>
    <w:lvl w:ilvl="8">
      <w:start w:val="1"/>
      <w:numFmt w:val="lowerRoman"/>
      <w:lvlText w:val="%9."/>
      <w:lvlJc w:val="right"/>
      <w:pPr>
        <w:ind w:left="6197"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157" w:hanging="360"/>
      </w:pPr>
      <w:rPr/>
    </w:lvl>
    <w:lvl w:ilvl="2">
      <w:start w:val="1"/>
      <w:numFmt w:val="lowerRoman"/>
      <w:lvlText w:val="%3."/>
      <w:lvlJc w:val="right"/>
      <w:pPr>
        <w:ind w:left="1877" w:hanging="180"/>
      </w:pPr>
      <w:rPr/>
    </w:lvl>
    <w:lvl w:ilvl="3">
      <w:start w:val="1"/>
      <w:numFmt w:val="decimal"/>
      <w:lvlText w:val="%4."/>
      <w:lvlJc w:val="left"/>
      <w:pPr>
        <w:ind w:left="2597" w:hanging="360"/>
      </w:pPr>
      <w:rPr/>
    </w:lvl>
    <w:lvl w:ilvl="4">
      <w:start w:val="1"/>
      <w:numFmt w:val="lowerLetter"/>
      <w:lvlText w:val="%5."/>
      <w:lvlJc w:val="left"/>
      <w:pPr>
        <w:ind w:left="3317" w:hanging="360"/>
      </w:pPr>
      <w:rPr/>
    </w:lvl>
    <w:lvl w:ilvl="5">
      <w:start w:val="1"/>
      <w:numFmt w:val="lowerRoman"/>
      <w:lvlText w:val="%6."/>
      <w:lvlJc w:val="right"/>
      <w:pPr>
        <w:ind w:left="4037" w:hanging="180"/>
      </w:pPr>
      <w:rPr/>
    </w:lvl>
    <w:lvl w:ilvl="6">
      <w:start w:val="1"/>
      <w:numFmt w:val="decimal"/>
      <w:lvlText w:val="%7."/>
      <w:lvlJc w:val="left"/>
      <w:pPr>
        <w:ind w:left="4757" w:hanging="360"/>
      </w:pPr>
      <w:rPr/>
    </w:lvl>
    <w:lvl w:ilvl="7">
      <w:start w:val="1"/>
      <w:numFmt w:val="lowerLetter"/>
      <w:lvlText w:val="%8."/>
      <w:lvlJc w:val="left"/>
      <w:pPr>
        <w:ind w:left="5477" w:hanging="360"/>
      </w:pPr>
      <w:rPr/>
    </w:lvl>
    <w:lvl w:ilvl="8">
      <w:start w:val="1"/>
      <w:numFmt w:val="lowerRoman"/>
      <w:lvlText w:val="%9."/>
      <w:lvlJc w:val="right"/>
      <w:pPr>
        <w:ind w:left="6197"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ela-Siatka">
    <w:name w:val="Table Grid"/>
    <w:basedOn w:val="Standardowy"/>
    <w:uiPriority w:val="59"/>
    <w:rsid w:val="00177EC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dymka">
    <w:name w:val="Balloon Text"/>
    <w:link w:val="TekstdymkaZnak"/>
    <w:uiPriority w:val="99"/>
    <w:semiHidden w:val="1"/>
    <w:unhideWhenUsed w:val="1"/>
    <w:rsid w:val="003706A6"/>
    <w:pPr>
      <w:spacing w:after="0" w:line="240" w:lineRule="auto"/>
    </w:pPr>
    <w:rPr>
      <w:rFonts w:ascii="Tahoma" w:cs="Tahoma" w:hAnsi="Tahoma"/>
      <w:sz w:val="16"/>
      <w:szCs w:val="16"/>
    </w:rPr>
  </w:style>
  <w:style w:type="character" w:styleId="TekstdymkaZnak" w:customStyle="1">
    <w:name w:val="Tekst dymka Znak"/>
    <w:basedOn w:val="Domylnaczcionkaakapitu"/>
    <w:link w:val="Tekstdymka"/>
    <w:uiPriority w:val="99"/>
    <w:semiHidden w:val="1"/>
    <w:rsid w:val="003706A6"/>
    <w:rPr>
      <w:rFonts w:ascii="Tahoma" w:cs="Tahoma" w:hAnsi="Tahoma"/>
      <w:sz w:val="16"/>
      <w:szCs w:val="16"/>
    </w:rPr>
  </w:style>
  <w:style w:type="paragraph" w:styleId="TYTUAKTUprzedmiotregulacjiustawylubrozporzdzenia" w:customStyle="1">
    <w:name w:val="TYTUŁ_AKTU – przedmiot regulacji ustawy lub rozporządzenia"/>
    <w:uiPriority w:val="6"/>
    <w:qFormat w:val="1"/>
    <w:rsid w:val="003706A6"/>
    <w:pPr>
      <w:keepNext w:val="1"/>
      <w:suppressAutoHyphens w:val="1"/>
      <w:spacing w:after="360" w:before="120" w:line="360" w:lineRule="auto"/>
      <w:jc w:val="center"/>
    </w:pPr>
    <w:rPr>
      <w:rFonts w:ascii="Times" w:cs="Arial" w:eastAsia="Times New Roman" w:hAnsi="Times"/>
      <w:b w:val="1"/>
      <w:bCs w:val="1"/>
      <w:sz w:val="24"/>
      <w:szCs w:val="24"/>
    </w:rPr>
  </w:style>
  <w:style w:type="paragraph" w:styleId="ARTartustawynprozporzdzenia" w:customStyle="1">
    <w:name w:val="ART(§) – art. ustawy (§ np. rozporządzenia)"/>
    <w:uiPriority w:val="11"/>
    <w:qFormat w:val="1"/>
    <w:rsid w:val="00983A14"/>
    <w:pPr>
      <w:suppressAutoHyphens w:val="1"/>
      <w:autoSpaceDE w:val="0"/>
      <w:autoSpaceDN w:val="0"/>
      <w:adjustRightInd w:val="0"/>
      <w:spacing w:after="0" w:before="120" w:line="360" w:lineRule="auto"/>
      <w:ind w:firstLine="510"/>
      <w:jc w:val="both"/>
    </w:pPr>
    <w:rPr>
      <w:rFonts w:ascii="Times" w:cs="Arial" w:eastAsia="Times New Roman" w:hAnsi="Times"/>
      <w:sz w:val="24"/>
      <w:szCs w:val="20"/>
    </w:rPr>
  </w:style>
  <w:style w:type="paragraph" w:styleId="PKTpunkt" w:customStyle="1">
    <w:name w:val="PKT – punkt"/>
    <w:uiPriority w:val="13"/>
    <w:qFormat w:val="1"/>
    <w:rsid w:val="00983A14"/>
    <w:pPr>
      <w:spacing w:after="0" w:line="360" w:lineRule="auto"/>
      <w:ind w:left="510" w:hanging="510"/>
      <w:jc w:val="both"/>
    </w:pPr>
    <w:rPr>
      <w:rFonts w:ascii="Times" w:cs="Arial" w:eastAsia="Times New Roman" w:hAnsi="Times"/>
      <w:bCs w:val="1"/>
      <w:sz w:val="24"/>
      <w:szCs w:val="20"/>
    </w:rPr>
  </w:style>
  <w:style w:type="character" w:styleId="Odwoaniedokomentarza">
    <w:name w:val="annotation reference"/>
    <w:uiPriority w:val="99"/>
    <w:semiHidden w:val="1"/>
    <w:rsid w:val="00983A14"/>
    <w:rPr>
      <w:sz w:val="16"/>
      <w:szCs w:val="16"/>
    </w:rPr>
  </w:style>
  <w:style w:type="paragraph" w:styleId="Tekstkomentarza">
    <w:name w:val="annotation text"/>
    <w:link w:val="TekstkomentarzaZnak"/>
    <w:uiPriority w:val="99"/>
    <w:semiHidden w:val="1"/>
    <w:rsid w:val="00983A14"/>
    <w:pPr>
      <w:widowControl w:val="0"/>
      <w:autoSpaceDE w:val="0"/>
      <w:autoSpaceDN w:val="0"/>
      <w:adjustRightInd w:val="0"/>
      <w:spacing w:after="0" w:line="360" w:lineRule="auto"/>
    </w:pPr>
    <w:rPr>
      <w:rFonts w:ascii="Times" w:cs="Times New Roman" w:eastAsia="Times New Roman" w:hAnsi="Times"/>
      <w:sz w:val="24"/>
      <w:szCs w:val="24"/>
    </w:rPr>
  </w:style>
  <w:style w:type="character" w:styleId="TekstkomentarzaZnak" w:customStyle="1">
    <w:name w:val="Tekst komentarza Znak"/>
    <w:basedOn w:val="Domylnaczcionkaakapitu"/>
    <w:link w:val="Tekstkomentarza"/>
    <w:uiPriority w:val="99"/>
    <w:semiHidden w:val="1"/>
    <w:rsid w:val="00983A14"/>
    <w:rPr>
      <w:rFonts w:ascii="Times" w:cs="Times New Roman" w:eastAsia="Times New Roman" w:hAnsi="Times"/>
      <w:sz w:val="24"/>
      <w:szCs w:val="24"/>
      <w:lang w:eastAsia="pl-PL"/>
    </w:rPr>
  </w:style>
  <w:style w:type="character" w:styleId="Ppogrubienie" w:customStyle="1">
    <w:name w:val="_P_ – pogrubienie"/>
    <w:uiPriority w:val="1"/>
    <w:qFormat w:val="1"/>
    <w:rsid w:val="00983A14"/>
    <w:rPr>
      <w:b w:val="1"/>
    </w:rPr>
  </w:style>
  <w:style w:type="paragraph" w:styleId="Akapitzlist">
    <w:name w:val="List Paragraph"/>
    <w:uiPriority w:val="72"/>
    <w:qFormat w:val="1"/>
    <w:rsid w:val="00983A14"/>
    <w:pPr>
      <w:ind w:left="720"/>
      <w:contextualSpacing w:val="1"/>
    </w:pPr>
  </w:style>
  <w:style w:type="paragraph" w:styleId="USTustnpkodeksu" w:customStyle="1">
    <w:name w:val="UST(§) – ust. (§ np. kodeksu)"/>
    <w:basedOn w:val="ARTartustawynprozporzdzenia"/>
    <w:uiPriority w:val="12"/>
    <w:qFormat w:val="1"/>
    <w:rsid w:val="009A3389"/>
    <w:pPr>
      <w:spacing w:before="0"/>
    </w:pPr>
    <w:rPr>
      <w:bCs w:val="1"/>
    </w:rPr>
  </w:style>
  <w:style w:type="paragraph" w:styleId="Nagwek">
    <w:name w:val="header"/>
    <w:link w:val="NagwekZnak"/>
    <w:uiPriority w:val="99"/>
    <w:unhideWhenUsed w:val="1"/>
    <w:rsid w:val="00735AA5"/>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35AA5"/>
  </w:style>
  <w:style w:type="paragraph" w:styleId="Stopka">
    <w:name w:val="footer"/>
    <w:link w:val="StopkaZnak"/>
    <w:uiPriority w:val="99"/>
    <w:unhideWhenUsed w:val="1"/>
    <w:rsid w:val="00735AA5"/>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35AA5"/>
  </w:style>
  <w:style w:type="character" w:styleId="Nagwek2Znak" w:customStyle="1">
    <w:name w:val="Nagłówek 2 Znak"/>
    <w:basedOn w:val="Domylnaczcionkaakapitu"/>
    <w:uiPriority w:val="9"/>
    <w:rsid w:val="004A28E0"/>
    <w:rPr>
      <w:rFonts w:asciiTheme="majorHAnsi" w:cstheme="majorBidi" w:eastAsiaTheme="majorEastAsia" w:hAnsiTheme="majorHAnsi"/>
      <w:b w:val="1"/>
      <w:bCs w:val="1"/>
      <w:color w:val="4f81bd" w:themeColor="accent1"/>
      <w:sz w:val="26"/>
      <w:szCs w:val="26"/>
    </w:rPr>
  </w:style>
  <w:style w:type="character" w:styleId="Nagwek3Znak" w:customStyle="1">
    <w:name w:val="Nagłówek 3 Znak"/>
    <w:basedOn w:val="Domylnaczcionkaakapitu"/>
    <w:uiPriority w:val="9"/>
    <w:semiHidden w:val="1"/>
    <w:rsid w:val="00326177"/>
    <w:rPr>
      <w:rFonts w:asciiTheme="majorHAnsi" w:cstheme="majorBidi" w:eastAsiaTheme="majorEastAsia" w:hAnsiTheme="majorHAnsi"/>
      <w:color w:val="243f60" w:themeColor="accent1" w:themeShade="00007F"/>
      <w:sz w:val="24"/>
      <w:szCs w:val="24"/>
    </w:rPr>
  </w:style>
  <w:style w:type="table" w:styleId="a" w:customStyle="1">
    <w:basedOn w:val="TableNormal2"/>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2"/>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2"/>
    <w:pPr>
      <w:spacing w:after="0"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2"/>
    <w:pPr>
      <w:spacing w:after="0"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table" w:styleId="a4"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table" w:styleId="a5"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6"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WvqLpV1LQwFROMqOtMfpq74bg==">CgMxLjAyDmguMWFlbXJ6Z3FibHY2OAByITFOMnZhNXpyc1gyaUdRelhjZUtoR3FrQzA4dFNqcVZubw==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2026-02-24T17:32:00Z</dcterms:created>
  <dc:creator>Lukasz Kaniuka</dc:creator>
</cp:coreProperties>
</file>